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51F8F" w14:textId="77777777" w:rsidR="005E31C5" w:rsidRPr="00792328" w:rsidRDefault="005E31C5">
      <w:pPr>
        <w:rPr>
          <w:rFonts w:ascii="Times New Roman" w:hAnsi="Times New Roman" w:cs="Times New Roman"/>
          <w:b w:val="0"/>
          <w:bCs w:val="0"/>
        </w:rPr>
      </w:pPr>
    </w:p>
    <w:p w14:paraId="059FE6BC" w14:textId="77777777" w:rsidR="00F779B0" w:rsidRDefault="00F779B0" w:rsidP="00792328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14D88000" w14:textId="54034E3A" w:rsidR="005E31C5" w:rsidRPr="00792328" w:rsidRDefault="00AB5EA2" w:rsidP="0079232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AB5EA2">
        <w:rPr>
          <w:rFonts w:ascii="Times New Roman" w:hAnsi="Times New Roman" w:cs="Times New Roman"/>
          <w:caps/>
          <w:kern w:val="24"/>
        </w:rPr>
        <w:t>Zestaw pomp infuzyjnych ze stacją dokującą</w:t>
      </w:r>
    </w:p>
    <w:tbl>
      <w:tblPr>
        <w:tblStyle w:val="TableNormal"/>
        <w:tblpPr w:leftFromText="141" w:rightFromText="141" w:vertAnchor="text" w:horzAnchor="margin" w:tblpX="279" w:tblpY="492"/>
        <w:tblW w:w="99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04"/>
        <w:gridCol w:w="7234"/>
        <w:gridCol w:w="1984"/>
      </w:tblGrid>
      <w:tr w:rsidR="00AE3057" w:rsidRPr="00797D46" w14:paraId="42F74D53" w14:textId="77777777" w:rsidTr="00AE3057">
        <w:trPr>
          <w:trHeight w:val="619"/>
          <w:tblHeader/>
        </w:trPr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43DD" w14:textId="203C6A8B" w:rsidR="00AE3057" w:rsidRPr="00797D46" w:rsidRDefault="00AE3057" w:rsidP="00F779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POMPA STRZYKAWKOWA – 20 SZT.</w:t>
            </w:r>
          </w:p>
        </w:tc>
      </w:tr>
      <w:tr w:rsidR="00F779B0" w:rsidRPr="00797D46" w14:paraId="4F98C7DD" w14:textId="77777777" w:rsidTr="00AB5EA2">
        <w:trPr>
          <w:trHeight w:val="1200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41BA" w14:textId="77777777" w:rsidR="00F779B0" w:rsidRPr="00792328" w:rsidRDefault="00F779B0" w:rsidP="00F779B0">
            <w:pPr>
              <w:rPr>
                <w:rFonts w:ascii="Times New Roman" w:hAnsi="Times New Roman" w:cs="Times New Roman"/>
              </w:rPr>
            </w:pPr>
            <w:r w:rsidRPr="00AB5EA2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6B3D" w14:textId="77777777" w:rsidR="00F779B0" w:rsidRPr="00797D46" w:rsidRDefault="00F779B0" w:rsidP="00F779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46">
              <w:rPr>
                <w:rFonts w:ascii="Times New Roman" w:hAnsi="Times New Roman" w:cs="Times New Roman"/>
                <w:sz w:val="22"/>
                <w:szCs w:val="22"/>
              </w:rPr>
              <w:t>Parametry wymagane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E7F0" w14:textId="77777777" w:rsidR="00F779B0" w:rsidRPr="00797D46" w:rsidRDefault="00F779B0" w:rsidP="00F779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46">
              <w:rPr>
                <w:rFonts w:ascii="Times New Roman" w:hAnsi="Times New Roman" w:cs="Times New Roman"/>
                <w:sz w:val="18"/>
                <w:szCs w:val="18"/>
              </w:rPr>
              <w:t>Proponowane rozwiązania, parametry lub/i potwierdzić spełniane wymagań poprzez wpisanie „TAK/NIE”</w:t>
            </w:r>
          </w:p>
        </w:tc>
      </w:tr>
    </w:tbl>
    <w:p w14:paraId="096B1739" w14:textId="77777777" w:rsidR="005E31C5" w:rsidRPr="00792328" w:rsidRDefault="005E31C5">
      <w:pPr>
        <w:rPr>
          <w:rFonts w:ascii="Times New Roman" w:eastAsia="Times New Roman" w:hAnsi="Times New Roman" w:cs="Times New Roman"/>
          <w:b w:val="0"/>
          <w:bCs w:val="0"/>
        </w:rPr>
      </w:pPr>
    </w:p>
    <w:tbl>
      <w:tblPr>
        <w:tblStyle w:val="TableNormal"/>
        <w:tblW w:w="9922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1984"/>
      </w:tblGrid>
      <w:tr w:rsidR="00AB5EA2" w:rsidRPr="00792328" w14:paraId="25789D4F" w14:textId="77777777" w:rsidTr="00AB5EA2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83B8" w14:textId="77777777" w:rsidR="00AB5EA2" w:rsidRPr="00AB5EA2" w:rsidRDefault="00AB5EA2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003C" w14:textId="44A0DC52" w:rsidR="00AB5EA2" w:rsidRPr="00792328" w:rsidRDefault="00AB5EA2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Stosowanie strzykawek </w:t>
            </w: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, 5, 6, 10, 12, 20, 30, 35, 50 ml.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E832" w14:textId="77777777" w:rsidR="00AB5EA2" w:rsidRPr="00792328" w:rsidRDefault="00AB5EA2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4A9A9337" w14:textId="2F816F6C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BC17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9199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Strzykawki montowane od czoła.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40F4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6CF0" w14:paraId="233B78D4" w14:textId="6C748563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8FE8" w14:textId="77777777" w:rsidR="00792328" w:rsidRPr="00796CF0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7279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Ramię pompy niewychodzące poza gabaryt obudowy.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225F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6CF0" w14:paraId="18FF95FB" w14:textId="7DE976A4" w:rsidTr="00AB5EA2">
        <w:trPr>
          <w:trHeight w:val="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3402" w14:textId="77777777" w:rsidR="00792328" w:rsidRPr="00796CF0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0625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Klawiatura symboliczna i alfanumeryczna umożliwiająca szybkie i intuicyjne programowanie infuzji oraz obsługę pompy-nie dopuszcza się klawiatury wyświetlanej na ekranie pompy.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7382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394EA34F" w14:textId="4E50F481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7E2D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3C77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Wysokość pompy 11,5cm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CE23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77C5EFD6" w14:textId="09B0C86B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CDC4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974B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Szybkość dozowania w zakresie 0,01-2000 ml/h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7115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078F4E8F" w14:textId="11D02606" w:rsidTr="00AB5EA2">
        <w:trPr>
          <w:trHeight w:val="3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CB8A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756E" w14:textId="77777777" w:rsidR="00792328" w:rsidRPr="00792328" w:rsidRDefault="00792328">
            <w:pPr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Programowanie parametrów infuzji w jednostkach:</w:t>
            </w:r>
          </w:p>
          <w:p w14:paraId="7F5CC005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ml, L,</w:t>
            </w:r>
          </w:p>
          <w:p w14:paraId="243F6F76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ng, μg, mg, g,</w:t>
            </w:r>
          </w:p>
          <w:p w14:paraId="30A3CE38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μEq, mEq, Eq,</w:t>
            </w:r>
          </w:p>
          <w:p w14:paraId="172B17B5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mlU, IU, kIU,</w:t>
            </w:r>
          </w:p>
          <w:p w14:paraId="6B393AAA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mIE, IE, kIE,</w:t>
            </w:r>
          </w:p>
          <w:p w14:paraId="0D8C89A4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cal, kcal,</w:t>
            </w:r>
          </w:p>
          <w:p w14:paraId="6389120C" w14:textId="77777777" w:rsidR="00792328" w:rsidRPr="00792328" w:rsidRDefault="0079232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J, kJ,</w:t>
            </w:r>
          </w:p>
          <w:p w14:paraId="1C863C6A" w14:textId="77777777" w:rsidR="00792328" w:rsidRPr="00792328" w:rsidRDefault="00792328">
            <w:pPr>
              <w:numPr>
                <w:ilvl w:val="0"/>
                <w:numId w:val="2"/>
              </w:numPr>
              <w:spacing w:after="6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mmol, mol, </w:t>
            </w:r>
          </w:p>
          <w:p w14:paraId="64C8711E" w14:textId="77777777" w:rsidR="00792328" w:rsidRPr="00792328" w:rsidRDefault="00792328">
            <w:pPr>
              <w:ind w:left="99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 uwzględnieniem wagi pacjenta lub nie,</w:t>
            </w:r>
          </w:p>
          <w:p w14:paraId="78A87817" w14:textId="77777777" w:rsidR="00792328" w:rsidRPr="00792328" w:rsidRDefault="00792328">
            <w:pPr>
              <w:ind w:left="99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z uwzględnieniem powierzchni pacjenta lub nie, </w:t>
            </w:r>
          </w:p>
          <w:p w14:paraId="721415A5" w14:textId="77777777" w:rsidR="00792328" w:rsidRPr="00792328" w:rsidRDefault="00792328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 min, godz., dobę.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5D2A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1ADFB327" w14:textId="74B5FBCE" w:rsidTr="00AB5EA2">
        <w:trPr>
          <w:trHeight w:val="2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81EB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D029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Zabezpieczenie przed gwałtowną zmianą szybkości w trakcie trwania infuzji (miareczkowanie).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0F3E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037BFF8F" w14:textId="3F776550" w:rsidTr="00AB5EA2">
        <w:trPr>
          <w:trHeight w:val="1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9532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5136" w14:textId="77777777" w:rsidR="00792328" w:rsidRPr="00792328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Tryby dozowania:</w:t>
            </w:r>
          </w:p>
          <w:p w14:paraId="2A2891B5" w14:textId="77777777" w:rsidR="00792328" w:rsidRPr="00792328" w:rsidRDefault="007923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ciągła,</w:t>
            </w:r>
          </w:p>
          <w:p w14:paraId="716AA7CA" w14:textId="77777777" w:rsidR="00792328" w:rsidRPr="00792328" w:rsidRDefault="007923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bolusowa (z przerwą),</w:t>
            </w:r>
          </w:p>
          <w:p w14:paraId="23B3E4D3" w14:textId="77777777" w:rsidR="00792328" w:rsidRPr="00792328" w:rsidRDefault="007923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kern w:val="2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profilowa (min. 16 kroków infuzji),</w:t>
            </w:r>
          </w:p>
          <w:p w14:paraId="475E309E" w14:textId="77777777" w:rsidR="00792328" w:rsidRPr="00792328" w:rsidRDefault="00792328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TPN (narastanie / utrzymanie / opadanie).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72D8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521E7E4C" w14:textId="7520BEED" w:rsidTr="00AB5EA2">
        <w:trPr>
          <w:trHeight w:val="2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C27A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9EA3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Dokładność infuzji ± 2%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90F9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0D5FC73E" w14:textId="154B5223" w:rsidTr="00AB5EA2">
        <w:trPr>
          <w:trHeight w:val="6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1474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A718" w14:textId="77777777" w:rsidR="00792328" w:rsidRPr="00792328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Programowanie parametrów podaży Bolus-a i dawki indukcyjnej:</w:t>
            </w:r>
          </w:p>
          <w:p w14:paraId="28800E6D" w14:textId="77777777" w:rsidR="00792328" w:rsidRPr="00792328" w:rsidRDefault="007923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objętość / dawka</w:t>
            </w:r>
          </w:p>
          <w:p w14:paraId="53B622BE" w14:textId="77777777" w:rsidR="00792328" w:rsidRPr="00792328" w:rsidRDefault="0079232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lub szybkość podaży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CC9B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372D8B4B" w14:textId="1EA7F927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3E70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08E8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Automatyczna zmniejszenie szybkości podaży bolusa, w celu uniknięcia przerwania infuzji na skutek alarmu okluzji.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1267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1B2B493A" w14:textId="0FE4CCF7" w:rsidTr="00AB5EA2">
        <w:trPr>
          <w:trHeight w:val="30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7C02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48AC" w14:textId="77777777" w:rsidR="00792328" w:rsidRPr="00796CF0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Możliwość wgrania do pompy biblioteki leków złożonej z procedur dozowania zawierających co najmniej:</w:t>
            </w:r>
          </w:p>
          <w:p w14:paraId="5DF7B032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nazwy leku,</w:t>
            </w:r>
          </w:p>
          <w:p w14:paraId="022F5379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 koncentracji leku,</w:t>
            </w:r>
          </w:p>
          <w:p w14:paraId="6CA1EC3F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szybkości dozowania (dawkowanie),</w:t>
            </w:r>
          </w:p>
          <w:p w14:paraId="1AF11BEF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całkowitej objętości (dawki) infuzji,</w:t>
            </w:r>
          </w:p>
          <w:p w14:paraId="2EC971B9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parametrów bolusa, oraz dawki indukcyjnej,</w:t>
            </w:r>
          </w:p>
          <w:p w14:paraId="011C8E24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limitów dla wymienionych parametrów infuzji:</w:t>
            </w:r>
          </w:p>
          <w:p w14:paraId="3F85BCF1" w14:textId="77777777" w:rsidR="00792328" w:rsidRPr="00796CF0" w:rsidRDefault="00792328" w:rsidP="00AB5EA2">
            <w:pPr>
              <w:numPr>
                <w:ilvl w:val="1"/>
                <w:numId w:val="5"/>
              </w:numPr>
              <w:ind w:left="622" w:hanging="28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miękkich, ostrzegających o przekroczeniu zalecanych wartości parametrów, </w:t>
            </w:r>
          </w:p>
          <w:p w14:paraId="08AE366F" w14:textId="77777777" w:rsidR="00792328" w:rsidRPr="00796CF0" w:rsidRDefault="00792328" w:rsidP="00AB5EA2">
            <w:pPr>
              <w:numPr>
                <w:ilvl w:val="1"/>
                <w:numId w:val="5"/>
              </w:numPr>
              <w:ind w:left="622" w:hanging="283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twardych – blokujących możliwość wprowadzenia wartości spoza ich zakresu.</w:t>
            </w:r>
          </w:p>
          <w:p w14:paraId="1E6AE6D7" w14:textId="77777777" w:rsidR="00792328" w:rsidRPr="00796CF0" w:rsidRDefault="00792328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Notatki doradczej możliwej do odczytania przed rozpoczęciem infuzji.</w:t>
            </w:r>
          </w:p>
          <w:p w14:paraId="06268786" w14:textId="77777777" w:rsidR="00792328" w:rsidRPr="00796CF0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Podział biblioteki na osobne grupy dedykowane poszczególnym oddziałom szpitalnym, do 40 oddziałów. Wybór oddziału dostępny w pompie.</w:t>
            </w:r>
          </w:p>
          <w:p w14:paraId="0F29C2C0" w14:textId="77777777" w:rsidR="00792328" w:rsidRPr="00796CF0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Podział biblioteki dedykowanej oddziałom na 40 kategorii lekowych.</w:t>
            </w:r>
          </w:p>
          <w:p w14:paraId="5020F386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Pojemność biblioteki 4000 procedur dozowania leków.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E783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5BDA9486" w14:textId="799966E0" w:rsidTr="00AB5EA2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FEF9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8C8B" w14:textId="77777777" w:rsidR="00792328" w:rsidRPr="00796CF0" w:rsidRDefault="00792328">
            <w:pPr>
              <w:tabs>
                <w:tab w:val="left" w:pos="36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Dostępność polskojęzycznego oprogramowania komputerowego do tworzenia i przesyłania do pompy biblioteki leków.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9ADC" w14:textId="77777777" w:rsidR="00792328" w:rsidRPr="00792328" w:rsidRDefault="00792328">
            <w:pPr>
              <w:tabs>
                <w:tab w:val="left" w:pos="360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395037DC" w14:textId="379DAA96" w:rsidTr="00AB5EA2">
        <w:trPr>
          <w:trHeight w:val="30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C553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E987" w14:textId="77777777" w:rsidR="00792328" w:rsidRPr="00796CF0" w:rsidRDefault="00792328">
            <w:pPr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Ekran infuzji umożliwiający wyświetlenie następujących informacji jednocześnie:</w:t>
            </w:r>
          </w:p>
          <w:p w14:paraId="2AF1BAEF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nazwa leku,</w:t>
            </w:r>
          </w:p>
          <w:p w14:paraId="169D22F7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koncentracja leku,</w:t>
            </w:r>
          </w:p>
          <w:p w14:paraId="255323CA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szybkość infuzji,</w:t>
            </w:r>
          </w:p>
          <w:p w14:paraId="0190CFDB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informacji, że wartość szybkości infuzji mieści się w zalecanym zakresie lub znajduje się w zakresie limitu miękkiego dolnego lub górnego,</w:t>
            </w:r>
          </w:p>
          <w:p w14:paraId="2B82C560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podana dawka,</w:t>
            </w:r>
          </w:p>
          <w:p w14:paraId="52DAABEC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poziom limitów dla szybkości infuzji,</w:t>
            </w:r>
          </w:p>
          <w:p w14:paraId="2A025CFB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do końca dawki lub czas do końca strzykawki w formie graficznej,</w:t>
            </w:r>
          </w:p>
          <w:p w14:paraId="37B5DC0E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kategorii leku wyodrębnionej kolorem,</w:t>
            </w:r>
          </w:p>
          <w:p w14:paraId="56C7DAE1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stan naładowania akumulatora,</w:t>
            </w:r>
          </w:p>
          <w:p w14:paraId="4C24C2C1" w14:textId="77777777" w:rsidR="00792328" w:rsidRPr="00796CF0" w:rsidRDefault="00792328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aktualne ciśnienie w linii pacjenta w formie graficznej.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0CF7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689F4577" w14:textId="1B4C3CB8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D347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3B44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Ekran dotykowy, przyspieszający wybór funkcji pompy.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2247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35A27665" w14:textId="70A9E9E9" w:rsidTr="00AB5EA2">
        <w:trPr>
          <w:trHeight w:val="2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D50D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2000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Kolorystyczne wyróżnienie ekranu infuzji do żywienia dojelitowego względem innych realizowanych infuzji.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93F8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3A082B79" w14:textId="565C628A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C4BA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EAB7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Napisy na wyświetlaczu w języku polskim.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32FB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6EA81722" w14:textId="13D9A1C6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9540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9F5A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Regulowane progi ciśnienia okluzji, 12 poziomów.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F390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61CF7C87" w14:textId="27CF8B7E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7294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8217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Progi ciśnienia regulowane w zakresie 75-900 mmHg.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32BE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29D3806C" w14:textId="5AD29849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2E84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783C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Zmiana progu ciśnienia okluzji bez przerywania infuzji.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0C9F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60A4EF34" w14:textId="2DD62361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74EB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325D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Automatyczna redukcja bolusa okluzyjnego.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FE22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220481C4" w14:textId="327D132D" w:rsidTr="00AB5EA2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7A6E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8DF2" w14:textId="77777777" w:rsidR="00792328" w:rsidRPr="00796CF0" w:rsidRDefault="00792328">
            <w:pPr>
              <w:tabs>
                <w:tab w:val="left" w:pos="1428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Priorytetowy system alarmów, zapewniający zróżnicowany sygnał dźwiękowy i świetlny, zależnie od stopnia zagrożenia.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815D" w14:textId="77777777" w:rsidR="00792328" w:rsidRPr="00792328" w:rsidRDefault="00792328">
            <w:pPr>
              <w:tabs>
                <w:tab w:val="left" w:pos="1428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199D2E73" w14:textId="0250825D" w:rsidTr="00AB5EA2">
        <w:trPr>
          <w:trHeight w:val="3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F1A1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7486" w14:textId="77777777" w:rsidR="00792328" w:rsidRPr="00796CF0" w:rsidRDefault="00792328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Możliwość instalacji pompy w stacji dokującej:</w:t>
            </w:r>
          </w:p>
          <w:p w14:paraId="447EF3A6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Zatrzaskowe mocowanie z automatyczną blokadą, bez konieczności przykręcania.</w:t>
            </w:r>
          </w:p>
          <w:p w14:paraId="5555FF45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Alarm nieprawidłowego mocowania pomp w stacji,</w:t>
            </w:r>
          </w:p>
          <w:p w14:paraId="5F2EEBBB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Pompy mocowane niezależnie, jedna nad drugą, </w:t>
            </w:r>
          </w:p>
          <w:p w14:paraId="261653D4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Automatyczne przyłączenie zasilania ze stacji dokującej,</w:t>
            </w:r>
          </w:p>
          <w:p w14:paraId="419ABF43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Automatyczne przyłączenie portu komunikacyjnego ze stacji dokującej,</w:t>
            </w:r>
          </w:p>
          <w:p w14:paraId="68A83F9C" w14:textId="77777777" w:rsidR="00792328" w:rsidRPr="00796CF0" w:rsidRDefault="00792328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Świetlna sygnalizacja stanu pomp: infuzja, alarm, STOP.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D863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75A4F4FB" w14:textId="266B4D6C" w:rsidTr="00AB5EA2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9F09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EB05" w14:textId="77777777" w:rsidR="00792328" w:rsidRPr="00796CF0" w:rsidRDefault="00792328">
            <w:p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Mocowanie pojedynczej pompy do statywów lub pionowych kolumn niewymagające dołączenia jakichkolwiek części, w szczególności uchwytu mocującego, po bezpośrednim wyjęciu pompy z stacji dokującej.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F196" w14:textId="77777777" w:rsidR="00792328" w:rsidRPr="00792328" w:rsidRDefault="00792328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3588DCD1" w14:textId="16920107" w:rsidTr="00AB5EA2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3D0A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8C37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Mocowanie pomp w stacji dokującej niewymagające odłączenia jakichkolwiek części, w szczególności uchwytu mocującego, po bezpośrednim zdjęciu pompy ze statywu.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34FE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39E7E074" w14:textId="3F83F11B" w:rsidTr="00AB5EA2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18AA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0A53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Uchwyt do przenoszenia pompy na stałe związany z pompą, niewymagający odłączania przy mocowaniu pomp w stacjach dokujących.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63F6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16850857" w14:textId="0698B554" w:rsidTr="00AB5EA2">
        <w:trPr>
          <w:trHeight w:val="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94DD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AA24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Możliwość komunikacji pomp umieszczonych w stacjach dokujących </w:t>
            </w:r>
            <w:r w:rsidRPr="00796CF0">
              <w:rPr>
                <w:rFonts w:ascii="Times New Roman" w:hAnsi="Times New Roman" w:cs="Times New Roman"/>
                <w:b w:val="0"/>
                <w:bCs w:val="0"/>
                <w:kern w:val="20"/>
                <w:sz w:val="22"/>
                <w:szCs w:val="22"/>
              </w:rPr>
              <w:t>wyposażonych w interface LAN z oprogramowaniem zewnętrznym.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0CA4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3BB1DC44" w14:textId="2AFEC11A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9C3E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B790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Historia infuzji – możliwość zapamiętania 2000 zdarzeń oznaczonych datą i godziną zdarzenia.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CDE7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46AC5E7C" w14:textId="3FE1C706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E516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424D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Klasa ochrony II, typ CF, odporność na defibrylację, ochrona obudowy IP22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C2F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10F4627E" w14:textId="48836A18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A512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7E35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Zasilanie pomp mocowanych poza stacją dokującą bezpośrednio z sieci energetycznej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FE72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731E6B3E" w14:textId="6CF3528C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27D6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FFB9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pracy z akumulatora do 30 h przy infuzji 5ml/h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BDDE" w14:textId="77777777" w:rsidR="00792328" w:rsidRPr="00792328" w:rsidRDefault="0079232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2328" w:rsidRPr="00792328" w14:paraId="5FD163A2" w14:textId="5D2AD4F9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2048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669C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ładowania akumulatora do 100% po pełnym rozładowaniu – poniżej 5 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40CE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92328" w:rsidRPr="00792328" w14:paraId="3612D174" w14:textId="6277EB56" w:rsidTr="00AB5EA2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82C84" w14:textId="77777777" w:rsidR="00792328" w:rsidRPr="00AB5EA2" w:rsidRDefault="00792328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CF06" w14:textId="77777777" w:rsidR="00792328" w:rsidRPr="00796CF0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6CF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Waga do 2,3 kg.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2D8A" w14:textId="77777777" w:rsidR="00792328" w:rsidRPr="00792328" w:rsidRDefault="00792328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AB5EA2" w:rsidRPr="00792328" w14:paraId="0A8FBAA6" w14:textId="77777777" w:rsidTr="00AB5EA2">
        <w:trPr>
          <w:trHeight w:val="548"/>
        </w:trPr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DB73" w14:textId="247C7F04" w:rsidR="00AB5EA2" w:rsidRPr="00AB5EA2" w:rsidRDefault="00AE3057" w:rsidP="00AB5EA2">
            <w:pPr>
              <w:jc w:val="center"/>
              <w:rPr>
                <w:rFonts w:ascii="Times New Roman" w:hAnsi="Times New Roman" w:cs="Times New Roman"/>
                <w:caps/>
                <w:kern w:val="24"/>
              </w:rPr>
            </w:pPr>
            <w:r w:rsidRPr="00AB5EA2">
              <w:rPr>
                <w:rFonts w:ascii="Times New Roman" w:hAnsi="Times New Roman" w:cs="Times New Roman"/>
                <w:caps/>
                <w:kern w:val="24"/>
              </w:rPr>
              <w:t>St</w:t>
            </w:r>
            <w:r>
              <w:rPr>
                <w:rFonts w:ascii="Times New Roman" w:hAnsi="Times New Roman" w:cs="Times New Roman"/>
                <w:caps/>
                <w:kern w:val="24"/>
              </w:rPr>
              <w:t>OJAK - STATYW</w:t>
            </w:r>
            <w:r w:rsidRPr="00AB5EA2">
              <w:rPr>
                <w:rFonts w:ascii="Times New Roman" w:hAnsi="Times New Roman" w:cs="Times New Roman"/>
                <w:caps/>
                <w:kern w:val="24"/>
              </w:rPr>
              <w:t xml:space="preserve"> do </w:t>
            </w:r>
            <w:r>
              <w:rPr>
                <w:rFonts w:ascii="Times New Roman" w:hAnsi="Times New Roman" w:cs="Times New Roman"/>
                <w:caps/>
                <w:kern w:val="24"/>
              </w:rPr>
              <w:t>POMP I STACJI</w:t>
            </w:r>
            <w:r w:rsidRPr="00AB5EA2">
              <w:rPr>
                <w:rFonts w:ascii="Times New Roman" w:hAnsi="Times New Roman" w:cs="Times New Roman"/>
                <w:caps/>
                <w:kern w:val="24"/>
              </w:rPr>
              <w:t xml:space="preserve"> dokujących</w:t>
            </w:r>
            <w:r>
              <w:rPr>
                <w:rFonts w:ascii="Times New Roman" w:hAnsi="Times New Roman" w:cs="Times New Roman"/>
                <w:caps/>
                <w:kern w:val="24"/>
              </w:rPr>
              <w:t xml:space="preserve"> – 5 SZT.</w:t>
            </w:r>
          </w:p>
        </w:tc>
      </w:tr>
      <w:tr w:rsidR="00792328" w:rsidRPr="00792328" w14:paraId="64907236" w14:textId="77777777" w:rsidTr="00AB5EA2">
        <w:tblPrEx>
          <w:jc w:val="center"/>
          <w:tblInd w:w="0" w:type="dxa"/>
          <w:shd w:val="clear" w:color="auto" w:fill="4F81BD"/>
        </w:tblPrEx>
        <w:trPr>
          <w:trHeight w:val="481"/>
          <w:tblHeader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3ECE" w14:textId="77777777" w:rsidR="00792328" w:rsidRPr="00AB5EA2" w:rsidRDefault="00792328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09D1D2E" w14:textId="77777777" w:rsidR="00792328" w:rsidRPr="00792328" w:rsidRDefault="0079232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Stabilny stojak umożliwiający łatwe przemieszczanie zestawu urządzeń medycznych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096A7" w14:textId="77777777" w:rsidR="00792328" w:rsidRPr="00792328" w:rsidRDefault="00792328">
            <w:pPr>
              <w:rPr>
                <w:rFonts w:ascii="Times New Roman" w:hAnsi="Times New Roman" w:cs="Times New Roman"/>
              </w:rPr>
            </w:pPr>
          </w:p>
        </w:tc>
      </w:tr>
      <w:tr w:rsidR="00792328" w:rsidRPr="00792328" w14:paraId="2917567D" w14:textId="77777777" w:rsidTr="00AB5EA2">
        <w:tblPrEx>
          <w:jc w:val="center"/>
          <w:tblInd w:w="0" w:type="dxa"/>
          <w:shd w:val="clear" w:color="auto" w:fill="4F81BD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710A" w14:textId="77777777" w:rsidR="00792328" w:rsidRPr="00AB5EA2" w:rsidRDefault="00792328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4F43EE" w14:textId="77777777" w:rsidR="00792328" w:rsidRPr="00792328" w:rsidRDefault="0079232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Podstawa jezdna z możliwością blokowania kół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DA748" w14:textId="77777777" w:rsidR="00792328" w:rsidRPr="00792328" w:rsidRDefault="00792328">
            <w:pPr>
              <w:rPr>
                <w:rFonts w:ascii="Times New Roman" w:hAnsi="Times New Roman" w:cs="Times New Roman"/>
              </w:rPr>
            </w:pPr>
          </w:p>
        </w:tc>
      </w:tr>
      <w:tr w:rsidR="00792328" w:rsidRPr="00792328" w14:paraId="2C7DE79D" w14:textId="77777777" w:rsidTr="00AB5EA2">
        <w:tblPrEx>
          <w:jc w:val="center"/>
          <w:tblInd w:w="0" w:type="dxa"/>
          <w:shd w:val="clear" w:color="auto" w:fill="4F81BD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D15F" w14:textId="77777777" w:rsidR="00792328" w:rsidRPr="00AB5EA2" w:rsidRDefault="00792328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D363328" w14:textId="77777777" w:rsidR="00792328" w:rsidRPr="00792328" w:rsidRDefault="0079232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Rura nośna wykonana ze stali nierdzewnej.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66A6" w14:textId="77777777" w:rsidR="00792328" w:rsidRPr="00792328" w:rsidRDefault="00792328">
            <w:pPr>
              <w:rPr>
                <w:rFonts w:ascii="Times New Roman" w:hAnsi="Times New Roman" w:cs="Times New Roman"/>
              </w:rPr>
            </w:pPr>
          </w:p>
        </w:tc>
      </w:tr>
      <w:tr w:rsidR="00792328" w:rsidRPr="00792328" w14:paraId="05E2DB1F" w14:textId="77777777" w:rsidTr="00AB5EA2">
        <w:tblPrEx>
          <w:jc w:val="center"/>
          <w:tblInd w:w="0" w:type="dxa"/>
          <w:shd w:val="clear" w:color="auto" w:fill="4F81BD"/>
        </w:tblPrEx>
        <w:trPr>
          <w:trHeight w:val="48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4EDE" w14:textId="77777777" w:rsidR="00792328" w:rsidRPr="00AB5EA2" w:rsidRDefault="00792328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7D9CE0" w14:textId="77777777" w:rsidR="00792328" w:rsidRPr="00792328" w:rsidRDefault="00792328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Możliwość mocowania stacji z pompami lub innych urządzeń medycznych o wadze do 35 kg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FED5" w14:textId="77777777" w:rsidR="00792328" w:rsidRPr="00792328" w:rsidRDefault="00792328">
            <w:pPr>
              <w:rPr>
                <w:rFonts w:ascii="Times New Roman" w:hAnsi="Times New Roman" w:cs="Times New Roman"/>
              </w:rPr>
            </w:pPr>
          </w:p>
        </w:tc>
      </w:tr>
      <w:tr w:rsidR="00AB5EA2" w:rsidRPr="00792328" w14:paraId="6D6BE95A" w14:textId="77777777" w:rsidTr="00AB5EA2">
        <w:tblPrEx>
          <w:jc w:val="center"/>
          <w:tblInd w:w="0" w:type="dxa"/>
        </w:tblPrEx>
        <w:trPr>
          <w:trHeight w:val="646"/>
          <w:jc w:val="center"/>
        </w:trPr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1D8" w14:textId="07F70A13" w:rsidR="00AB5EA2" w:rsidRPr="00792328" w:rsidRDefault="00AB5EA2" w:rsidP="00AB5EA2">
            <w:pPr>
              <w:jc w:val="center"/>
              <w:rPr>
                <w:rFonts w:ascii="Times New Roman" w:hAnsi="Times New Roman" w:cs="Times New Roman"/>
              </w:rPr>
            </w:pPr>
            <w:r w:rsidRPr="00AB5EA2">
              <w:rPr>
                <w:rFonts w:ascii="Times New Roman" w:hAnsi="Times New Roman" w:cs="Times New Roman"/>
              </w:rPr>
              <w:t>STACJE DOKUJĄCE</w:t>
            </w:r>
            <w:r w:rsidR="00AE3057">
              <w:rPr>
                <w:rFonts w:ascii="Times New Roman" w:hAnsi="Times New Roman" w:cs="Times New Roman"/>
              </w:rPr>
              <w:t xml:space="preserve"> – 5 SZT.</w:t>
            </w:r>
          </w:p>
        </w:tc>
      </w:tr>
      <w:tr w:rsidR="00797D46" w:rsidRPr="00792328" w14:paraId="16E96018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1263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40FF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Możliwość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mocowania  do 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 xml:space="preserve">4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pomp </w:t>
            </w: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infuzyjnych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BB1E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0D4B1B93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254E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D7BC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Obudowa stacji wykonana z tworzywa typu ABS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55ED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28D21D6E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8BE7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EAEC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Waga stacji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odpowiednio: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>do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>3,8 kg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1F497D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2A7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2D781348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FC4A7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FD4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Mocowanie stacji do pionowych rur, kolumn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66D7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0A03F4BB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8E70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645B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Zasilanie 230 V AC 50Hz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293FB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191A1937" w14:textId="77777777" w:rsidTr="00AB5EA2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56AA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A274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System szybkiego mocowania pomp w stacji dokującej – bez konieczności demontażu elementów pompy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FE46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274F6629" w14:textId="77777777" w:rsidTr="00AB5EA2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05A2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E99A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Możliwość szybkiego wyjęcia ze stacji każdej (dowolnej) pompy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51A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3A7A2A93" w14:textId="77777777" w:rsidTr="00AB5EA2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FB5A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77F9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Zasilanie pomp ze stacji dokującej – automatyczne przyłączenie zasilania po włożeniu pompy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6AC3B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05304812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2CC1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E2C6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wyposażona w sygnalizację świetlną, alarmową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056E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0BC14E9F" w14:textId="77777777" w:rsidTr="00AB5EA2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9ECD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E42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Przyłączanie stacji dokujących do systemu informatycznego szpitala za pomocą sieci Ethernet.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4F19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67D9F71E" w14:textId="77777777" w:rsidTr="00AB5EA2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9C1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493D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posiadająca uchwyt do swobodnego przenoszenia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87A8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  <w:tr w:rsidR="00797D46" w:rsidRPr="00792328" w14:paraId="6DF0E5E0" w14:textId="77777777" w:rsidTr="00AB5EA2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37DB" w14:textId="77777777" w:rsidR="00797D46" w:rsidRPr="00AB5EA2" w:rsidRDefault="00797D46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9876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wraz z wysięgnikiem do zawieszania pojemników z  płynami infuzyjnymi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914B" w14:textId="77777777" w:rsidR="00797D46" w:rsidRPr="00792328" w:rsidRDefault="00797D46" w:rsidP="007F7088">
            <w:pPr>
              <w:rPr>
                <w:rFonts w:ascii="Times New Roman" w:hAnsi="Times New Roman" w:cs="Times New Roman"/>
              </w:rPr>
            </w:pPr>
          </w:p>
        </w:tc>
      </w:tr>
    </w:tbl>
    <w:p w14:paraId="4DAFB756" w14:textId="77777777" w:rsidR="00792328" w:rsidRPr="00792328" w:rsidRDefault="00792328" w:rsidP="00792328">
      <w:pPr>
        <w:widowControl w:val="0"/>
        <w:ind w:left="70" w:hanging="7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500259A" w14:textId="1A19DE73" w:rsidR="00796CF0" w:rsidRDefault="00796CF0" w:rsidP="00796CF0">
      <w:pPr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796CF0">
        <w:rPr>
          <w:rFonts w:ascii="Times New Roman" w:hAnsi="Times New Roman" w:cs="Times New Roman"/>
          <w:i/>
          <w:iCs/>
          <w:color w:val="FF0000"/>
          <w:sz w:val="20"/>
          <w:szCs w:val="20"/>
        </w:rPr>
        <w:t>Dokument należy wypełnić i podpisać kwalifikowanym podpisem elektronicznym  osoby upoważnionej/ osób upoważnionych do reprezentowania Wykonawcy w dokumentach rejestrowych lub we właściwym pełnomocnictwie .</w:t>
      </w:r>
    </w:p>
    <w:p w14:paraId="6D779926" w14:textId="77777777" w:rsidR="00796CF0" w:rsidRPr="00796CF0" w:rsidRDefault="00796CF0" w:rsidP="00796CF0">
      <w:pPr>
        <w:jc w:val="center"/>
        <w:rPr>
          <w:rFonts w:ascii="Times New Roman" w:hAnsi="Times New Roman" w:cs="Times New Roman"/>
          <w:i/>
          <w:iCs/>
          <w:color w:val="FF0000"/>
          <w:kern w:val="0"/>
          <w:sz w:val="16"/>
          <w:szCs w:val="16"/>
        </w:rPr>
      </w:pPr>
    </w:p>
    <w:p w14:paraId="21AF6FF2" w14:textId="77777777" w:rsidR="00796CF0" w:rsidRPr="00796CF0" w:rsidRDefault="00796CF0" w:rsidP="00796CF0">
      <w:pPr>
        <w:jc w:val="center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796CF0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2665913" w14:textId="77777777" w:rsidR="00796CF0" w:rsidRPr="00796CF0" w:rsidRDefault="00796CF0" w:rsidP="00796CF0">
      <w:pPr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36FC8EB0" w14:textId="77777777" w:rsidR="00792328" w:rsidRPr="00792328" w:rsidRDefault="00792328">
      <w:pPr>
        <w:rPr>
          <w:rFonts w:ascii="Times New Roman" w:hAnsi="Times New Roman" w:cs="Times New Roman"/>
        </w:rPr>
      </w:pPr>
    </w:p>
    <w:sectPr w:rsidR="00792328" w:rsidRPr="00792328">
      <w:pgSz w:w="11900" w:h="16840"/>
      <w:pgMar w:top="907" w:right="851" w:bottom="90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7AD2" w14:textId="77777777" w:rsidR="00BA10E3" w:rsidRDefault="00BA10E3">
      <w:r>
        <w:separator/>
      </w:r>
    </w:p>
  </w:endnote>
  <w:endnote w:type="continuationSeparator" w:id="0">
    <w:p w14:paraId="38D61538" w14:textId="77777777" w:rsidR="00BA10E3" w:rsidRDefault="00BA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F6ECA" w14:textId="77777777" w:rsidR="00BA10E3" w:rsidRDefault="00BA10E3">
      <w:r>
        <w:separator/>
      </w:r>
    </w:p>
  </w:footnote>
  <w:footnote w:type="continuationSeparator" w:id="0">
    <w:p w14:paraId="1DE73F8A" w14:textId="77777777" w:rsidR="00BA10E3" w:rsidRDefault="00BA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C6AA0"/>
    <w:multiLevelType w:val="hybridMultilevel"/>
    <w:tmpl w:val="C4E8916A"/>
    <w:lvl w:ilvl="0" w:tplc="3AFA0C1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B2BE8"/>
    <w:multiLevelType w:val="hybridMultilevel"/>
    <w:tmpl w:val="1D6896C2"/>
    <w:lvl w:ilvl="0" w:tplc="F55677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A4F45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681804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EB9DA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C1CE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58A70A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5EC55C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9EB4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AEE9B8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8F5649"/>
    <w:multiLevelType w:val="hybridMultilevel"/>
    <w:tmpl w:val="DFC08E3A"/>
    <w:lvl w:ilvl="0" w:tplc="AF38A224">
      <w:start w:val="1"/>
      <w:numFmt w:val="bullet"/>
      <w:lvlText w:val="▪"/>
      <w:lvlJc w:val="left"/>
      <w:pPr>
        <w:ind w:left="3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803D2">
      <w:start w:val="1"/>
      <w:numFmt w:val="bullet"/>
      <w:lvlText w:val="o"/>
      <w:lvlJc w:val="left"/>
      <w:pPr>
        <w:ind w:left="110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5C4762">
      <w:start w:val="1"/>
      <w:numFmt w:val="bullet"/>
      <w:lvlText w:val="▪"/>
      <w:lvlJc w:val="left"/>
      <w:pPr>
        <w:ind w:left="182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8C4CC6">
      <w:start w:val="1"/>
      <w:numFmt w:val="bullet"/>
      <w:lvlText w:val="•"/>
      <w:lvlJc w:val="left"/>
      <w:pPr>
        <w:ind w:left="25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0C5B0C">
      <w:start w:val="1"/>
      <w:numFmt w:val="bullet"/>
      <w:lvlText w:val="o"/>
      <w:lvlJc w:val="left"/>
      <w:pPr>
        <w:ind w:left="326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BE694C">
      <w:start w:val="1"/>
      <w:numFmt w:val="bullet"/>
      <w:lvlText w:val="▪"/>
      <w:lvlJc w:val="left"/>
      <w:pPr>
        <w:ind w:left="39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54E1A0">
      <w:start w:val="1"/>
      <w:numFmt w:val="bullet"/>
      <w:lvlText w:val="•"/>
      <w:lvlJc w:val="left"/>
      <w:pPr>
        <w:ind w:left="470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94B71E">
      <w:start w:val="1"/>
      <w:numFmt w:val="bullet"/>
      <w:lvlText w:val="o"/>
      <w:lvlJc w:val="left"/>
      <w:pPr>
        <w:ind w:left="542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44064">
      <w:start w:val="1"/>
      <w:numFmt w:val="bullet"/>
      <w:lvlText w:val="▪"/>
      <w:lvlJc w:val="left"/>
      <w:pPr>
        <w:ind w:left="61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153AA4"/>
    <w:multiLevelType w:val="hybridMultilevel"/>
    <w:tmpl w:val="7B12057A"/>
    <w:lvl w:ilvl="0" w:tplc="51385852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DC57BC4"/>
    <w:multiLevelType w:val="hybridMultilevel"/>
    <w:tmpl w:val="A37C7B80"/>
    <w:lvl w:ilvl="0" w:tplc="5BDA1E8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D228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82103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A811FA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B6CE2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F8236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5CAB2E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86F83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F86F24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609765F"/>
    <w:multiLevelType w:val="hybridMultilevel"/>
    <w:tmpl w:val="EA845930"/>
    <w:lvl w:ilvl="0" w:tplc="0B6EFA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2B67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16BBF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CEC0A0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EAA7E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4C4B80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C1A54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066ECE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44E06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AF26B6C"/>
    <w:multiLevelType w:val="hybridMultilevel"/>
    <w:tmpl w:val="EE88886A"/>
    <w:lvl w:ilvl="0" w:tplc="C74071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6D4504"/>
    <w:multiLevelType w:val="hybridMultilevel"/>
    <w:tmpl w:val="CE80854A"/>
    <w:lvl w:ilvl="0" w:tplc="026A09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F4F71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4EE0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8ADE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0E406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6EF2D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ECA04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DA054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E2CCD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C8432B"/>
    <w:multiLevelType w:val="hybridMultilevel"/>
    <w:tmpl w:val="F9FCF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47FD7"/>
    <w:multiLevelType w:val="hybridMultilevel"/>
    <w:tmpl w:val="3F7C079A"/>
    <w:lvl w:ilvl="0" w:tplc="E0E8DC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BAC89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E6334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D6AA2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82FB8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0EC596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FEC24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1C173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64B30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27573125">
    <w:abstractNumId w:val="2"/>
  </w:num>
  <w:num w:numId="2" w16cid:durableId="558054715">
    <w:abstractNumId w:val="2"/>
    <w:lvlOverride w:ilvl="0">
      <w:lvl w:ilvl="0" w:tplc="AF38A224">
        <w:start w:val="1"/>
        <w:numFmt w:val="bullet"/>
        <w:lvlText w:val="▪"/>
        <w:lvlJc w:val="left"/>
        <w:pPr>
          <w:ind w:left="3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F803D2">
        <w:start w:val="1"/>
        <w:numFmt w:val="bullet"/>
        <w:lvlText w:val="o"/>
        <w:lvlJc w:val="left"/>
        <w:pPr>
          <w:ind w:left="110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C5C4762">
        <w:start w:val="1"/>
        <w:numFmt w:val="bullet"/>
        <w:lvlText w:val="▪"/>
        <w:lvlJc w:val="left"/>
        <w:pPr>
          <w:ind w:left="182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8C4CC6">
        <w:start w:val="1"/>
        <w:numFmt w:val="bullet"/>
        <w:lvlText w:val="•"/>
        <w:lvlJc w:val="left"/>
        <w:pPr>
          <w:ind w:left="25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D0C5B0C">
        <w:start w:val="1"/>
        <w:numFmt w:val="bullet"/>
        <w:lvlText w:val="o"/>
        <w:lvlJc w:val="left"/>
        <w:pPr>
          <w:ind w:left="326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BE694C">
        <w:start w:val="1"/>
        <w:numFmt w:val="bullet"/>
        <w:lvlText w:val="▪"/>
        <w:lvlJc w:val="left"/>
        <w:pPr>
          <w:ind w:left="39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154E1A0">
        <w:start w:val="1"/>
        <w:numFmt w:val="bullet"/>
        <w:lvlText w:val="•"/>
        <w:lvlJc w:val="left"/>
        <w:pPr>
          <w:ind w:left="470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94B71E">
        <w:start w:val="1"/>
        <w:numFmt w:val="bullet"/>
        <w:lvlText w:val="o"/>
        <w:lvlJc w:val="left"/>
        <w:pPr>
          <w:ind w:left="542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144064">
        <w:start w:val="1"/>
        <w:numFmt w:val="bullet"/>
        <w:lvlText w:val="▪"/>
        <w:lvlJc w:val="left"/>
        <w:pPr>
          <w:ind w:left="61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352534969">
    <w:abstractNumId w:val="9"/>
  </w:num>
  <w:num w:numId="4" w16cid:durableId="338116196">
    <w:abstractNumId w:val="4"/>
  </w:num>
  <w:num w:numId="5" w16cid:durableId="1328098161">
    <w:abstractNumId w:val="1"/>
  </w:num>
  <w:num w:numId="6" w16cid:durableId="1083986036">
    <w:abstractNumId w:val="7"/>
  </w:num>
  <w:num w:numId="7" w16cid:durableId="526410744">
    <w:abstractNumId w:val="5"/>
  </w:num>
  <w:num w:numId="8" w16cid:durableId="629169310">
    <w:abstractNumId w:val="6"/>
  </w:num>
  <w:num w:numId="9" w16cid:durableId="1079055863">
    <w:abstractNumId w:val="8"/>
  </w:num>
  <w:num w:numId="10" w16cid:durableId="383286968">
    <w:abstractNumId w:val="0"/>
  </w:num>
  <w:num w:numId="11" w16cid:durableId="1207640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1C5"/>
    <w:rsid w:val="000C6A87"/>
    <w:rsid w:val="00386A02"/>
    <w:rsid w:val="004963FA"/>
    <w:rsid w:val="005C1828"/>
    <w:rsid w:val="005E31C5"/>
    <w:rsid w:val="00792328"/>
    <w:rsid w:val="00796CF0"/>
    <w:rsid w:val="00797D46"/>
    <w:rsid w:val="009633D9"/>
    <w:rsid w:val="009874F1"/>
    <w:rsid w:val="009E1CE5"/>
    <w:rsid w:val="00AB5EA2"/>
    <w:rsid w:val="00AE3057"/>
    <w:rsid w:val="00B76198"/>
    <w:rsid w:val="00BA10E3"/>
    <w:rsid w:val="00F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C96F"/>
  <w15:docId w15:val="{AEA99A9B-C38F-46D3-B903-58EA8D61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797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D46"/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97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D46"/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AB5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jmazur</dc:creator>
  <cp:lastModifiedBy>Wioletta Krzyżanowska</cp:lastModifiedBy>
  <cp:revision>3</cp:revision>
  <dcterms:created xsi:type="dcterms:W3CDTF">2024-02-27T07:48:00Z</dcterms:created>
  <dcterms:modified xsi:type="dcterms:W3CDTF">2024-02-27T07:48:00Z</dcterms:modified>
</cp:coreProperties>
</file>